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1D" w:rsidRDefault="00FA7885" w:rsidP="00FA7885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F6C">
        <w:rPr>
          <w:rFonts w:ascii="Times New Roman" w:hAnsi="Times New Roman" w:cs="Times New Roman"/>
          <w:b/>
          <w:sz w:val="28"/>
          <w:szCs w:val="28"/>
        </w:rPr>
        <w:t xml:space="preserve">Перечень заявок, рекомендуемых к поддержке </w:t>
      </w:r>
      <w:r w:rsidR="00D87B07" w:rsidRPr="00AA3F6C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9810CA" w:rsidRPr="00AA3F6C">
        <w:rPr>
          <w:rFonts w:ascii="Times New Roman" w:hAnsi="Times New Roman" w:cs="Times New Roman"/>
          <w:b/>
          <w:sz w:val="28"/>
          <w:szCs w:val="28"/>
        </w:rPr>
        <w:t>«</w:t>
      </w:r>
      <w:r w:rsidR="00D87B07" w:rsidRPr="00AA3F6C">
        <w:rPr>
          <w:rFonts w:ascii="Times New Roman" w:hAnsi="Times New Roman" w:cs="Times New Roman"/>
          <w:b/>
          <w:sz w:val="28"/>
          <w:szCs w:val="28"/>
        </w:rPr>
        <w:t>Международные инновации из России</w:t>
      </w:r>
      <w:r w:rsidR="009810CA" w:rsidRPr="00AA3F6C">
        <w:rPr>
          <w:rFonts w:ascii="Times New Roman" w:hAnsi="Times New Roman" w:cs="Times New Roman"/>
          <w:b/>
          <w:sz w:val="28"/>
          <w:szCs w:val="28"/>
        </w:rPr>
        <w:t>»</w:t>
      </w:r>
      <w:r w:rsidR="00AA3F6C">
        <w:rPr>
          <w:rFonts w:ascii="Times New Roman" w:hAnsi="Times New Roman" w:cs="Times New Roman"/>
          <w:b/>
          <w:sz w:val="28"/>
          <w:szCs w:val="28"/>
        </w:rPr>
        <w:br/>
      </w:r>
      <w:r w:rsidR="00D87B07" w:rsidRPr="00AA3F6C">
        <w:rPr>
          <w:rFonts w:ascii="Times New Roman" w:hAnsi="Times New Roman" w:cs="Times New Roman"/>
          <w:b/>
          <w:sz w:val="28"/>
          <w:szCs w:val="28"/>
        </w:rPr>
        <w:t xml:space="preserve">в рамках программы </w:t>
      </w:r>
      <w:r w:rsidR="009810CA" w:rsidRPr="00AA3F6C">
        <w:rPr>
          <w:rFonts w:ascii="Times New Roman" w:hAnsi="Times New Roman" w:cs="Times New Roman"/>
          <w:b/>
          <w:sz w:val="28"/>
          <w:szCs w:val="28"/>
        </w:rPr>
        <w:t>«</w:t>
      </w:r>
      <w:r w:rsidR="00D87B07" w:rsidRPr="00AA3F6C">
        <w:rPr>
          <w:rFonts w:ascii="Times New Roman" w:hAnsi="Times New Roman" w:cs="Times New Roman"/>
          <w:b/>
          <w:sz w:val="28"/>
          <w:szCs w:val="28"/>
        </w:rPr>
        <w:t>Интернационализация</w:t>
      </w:r>
      <w:r w:rsidR="009810CA" w:rsidRPr="00AA3F6C">
        <w:rPr>
          <w:rFonts w:ascii="Times New Roman" w:hAnsi="Times New Roman" w:cs="Times New Roman"/>
          <w:b/>
          <w:sz w:val="28"/>
          <w:szCs w:val="28"/>
        </w:rPr>
        <w:t>»</w:t>
      </w:r>
      <w:r w:rsidR="00AA3F6C">
        <w:rPr>
          <w:rFonts w:ascii="Times New Roman" w:hAnsi="Times New Roman" w:cs="Times New Roman"/>
          <w:b/>
          <w:sz w:val="28"/>
          <w:szCs w:val="28"/>
        </w:rPr>
        <w:br/>
      </w:r>
      <w:r w:rsidR="00D87B07" w:rsidRPr="00AA3F6C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AA3F6C" w:rsidRPr="00AA3F6C">
        <w:rPr>
          <w:rFonts w:ascii="Times New Roman" w:hAnsi="Times New Roman" w:cs="Times New Roman"/>
          <w:b/>
          <w:sz w:val="28"/>
          <w:szCs w:val="28"/>
        </w:rPr>
        <w:t xml:space="preserve">с 20 октября </w:t>
      </w:r>
      <w:r w:rsidR="00AA3F6C">
        <w:rPr>
          <w:rFonts w:ascii="Times New Roman" w:hAnsi="Times New Roman" w:cs="Times New Roman"/>
          <w:b/>
          <w:sz w:val="28"/>
          <w:szCs w:val="28"/>
        </w:rPr>
        <w:t xml:space="preserve">2021 г. </w:t>
      </w:r>
      <w:r w:rsidR="00AA3F6C" w:rsidRPr="00AA3F6C">
        <w:rPr>
          <w:rFonts w:ascii="Times New Roman" w:hAnsi="Times New Roman" w:cs="Times New Roman"/>
          <w:b/>
          <w:sz w:val="28"/>
          <w:szCs w:val="28"/>
        </w:rPr>
        <w:t>по 15 ноября 2021</w:t>
      </w:r>
      <w:r w:rsidR="00AA3F6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A3F6C" w:rsidRPr="00AA3F6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042"/>
        <w:gridCol w:w="5244"/>
        <w:gridCol w:w="1843"/>
        <w:gridCol w:w="1843"/>
        <w:gridCol w:w="1843"/>
        <w:gridCol w:w="2317"/>
      </w:tblGrid>
      <w:tr w:rsidR="007B2E5A" w:rsidRPr="00AA3F6C" w:rsidTr="007B2E5A"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auto"/>
            <w:vAlign w:val="center"/>
            <w:hideMark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2" w:type="dxa"/>
            <w:shd w:val="clear" w:color="auto" w:fill="auto"/>
            <w:vAlign w:val="center"/>
            <w:hideMark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лот)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МИР-115863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скаффолдов на основе бактериальной целлюлозы, с использованием пептидов природного происхождения, для направленной тканевой регенерации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«ИнКом»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СКФО, Ставропольский край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14 530 000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Н2. Медицина и технологии здоровьесбережения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МИР-115962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гибридного маркированного композиционного материала для динамического маркерного мониторинга оффшорных нефтяных и газовых месторождений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«ГЕОСПЛИТ»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МИР-116017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технологического комплекса для производства многофункциональных светопропускающих конструкций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«ПТК ПРИБОРСЕРВИС»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МИР-116260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на основе портативного проекционного дисплея для использования в патрульных автомобилях с целью вывода информации от диспетчера в поле зрения водителя в реальном времени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«РИТ»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ПФО, Удмуртская Респ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МИР-116477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модуля речевого ассистента для AMBER-CRM на платформе AMBER для реализации AMBER-CRM на международном рынке и для внедрения в отечественных контакт-центрах с возможностью занятости людей с ограниченными возможностями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«ЭМБЕР»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МИР-116744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Автономная дрейфующая платформа сбора гидрологических данных на основе высокоточного измерителя скорости звука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«Марлин-Юг»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ЮФО, Севастополь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МИР-116825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рамы и передней подвески автомобиля повышенной грузоподъемности и проходимости с колесной формулой 8х8.2 для работы в осложнённых эксплуатационных условиях в России и за рубежом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«СИБТРАК»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ПФО, Татарстан Респ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МИР-116826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ВЫПОЛНЕНИЕ НИОКР В ЦЕЛЯХ СОЗДАНИЯ ЭЛЕКТРОННЫХ МОДУЛЕЙ ЭЛЕКТРОМАГНИТНО-АКУСТИЧЕСКОГО ПРЕОБРАЗОВАТЕЛЯ РАЗДЕЛЕННОГО ТИПА ДЛЯ ПРОВЕДЕНИЯ ДИАГНОСТИКИ НА ЗАГРЯЗНЁННЫХ ПОВЕРХНОСТЯХ ТРУБОПРОВОДОВ-РАЙЗЕРОВ ВО ВЗРЫВООПАСНОЙ СРЕДЕ ПОД ДАВЛЕНИЕМ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«Дизайн-Прибор»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МИР-116855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сервиса защиты веб-сайтов от ботов в режиме реального времени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«ДДОС-ГВАРД»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ЮФО, Ростовская обл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14 954 940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МИР-116871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Высокоэффективные тушители флуоресценции для производства ПЦР-тестов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ООО «Люмипроб 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7B2E5A" w:rsidRPr="00AA3F6C" w:rsidTr="007B2E5A">
        <w:trPr>
          <w:cantSplit/>
          <w:trHeight w:val="2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7B2E5A" w:rsidRPr="00AA3F6C" w:rsidRDefault="007B2E5A" w:rsidP="00AA3F6C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МИР-117056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Разработка системы ЧПУ Navi-NC для станка лазерного раскроя серии  Навигатор  на базе комплектующих B&amp;R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АО «ВНИТЭП»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ЦФО, Московская обл</w:t>
            </w:r>
          </w:p>
        </w:tc>
        <w:tc>
          <w:tcPr>
            <w:tcW w:w="1843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2317" w:type="dxa"/>
            <w:vAlign w:val="center"/>
          </w:tcPr>
          <w:p w:rsidR="007B2E5A" w:rsidRPr="00AA3F6C" w:rsidRDefault="007B2E5A" w:rsidP="00AA3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C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</w:tbl>
    <w:p w:rsidR="00FA7885" w:rsidRPr="00AA3F6C" w:rsidRDefault="00FA78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7885" w:rsidRPr="00AA3F6C" w:rsidSect="00FA7885">
      <w:type w:val="continuous"/>
      <w:pgSz w:w="16838" w:h="11906" w:orient="landscape"/>
      <w:pgMar w:top="1418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14" w:rsidRDefault="00361914" w:rsidP="00696ECD">
      <w:pPr>
        <w:spacing w:after="0" w:line="240" w:lineRule="auto"/>
      </w:pPr>
      <w:r>
        <w:separator/>
      </w:r>
    </w:p>
  </w:endnote>
  <w:end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14" w:rsidRDefault="00361914" w:rsidP="00696ECD">
      <w:pPr>
        <w:spacing w:after="0" w:line="240" w:lineRule="auto"/>
      </w:pPr>
      <w:r>
        <w:separator/>
      </w:r>
    </w:p>
  </w:footnote>
  <w:footnote w:type="continuationSeparator" w:id="0">
    <w:p w:rsidR="00361914" w:rsidRDefault="00361914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84F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E5A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0C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3F6C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07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A91D3-0EC6-41F2-82A6-24DDBA6E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6E61-239C-475C-B5A6-DE26A130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Лышенко Андрей Владиленович</dc:creator>
  <cp:lastModifiedBy>Лышенко Андрей Владиленович</cp:lastModifiedBy>
  <cp:revision>5</cp:revision>
  <cp:lastPrinted>2021-12-15T08:37:00Z</cp:lastPrinted>
  <dcterms:created xsi:type="dcterms:W3CDTF">2021-12-13T09:10:00Z</dcterms:created>
  <dcterms:modified xsi:type="dcterms:W3CDTF">2021-12-15T12:45:00Z</dcterms:modified>
</cp:coreProperties>
</file>